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2" w:rsidRPr="0038546A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38546A">
        <w:rPr>
          <w:rFonts w:ascii="Times New Roman" w:hAnsi="Times New Roman"/>
          <w:b/>
          <w:sz w:val="36"/>
          <w:szCs w:val="36"/>
          <w:u w:val="single"/>
          <w:lang w:eastAsia="ru-RU"/>
        </w:rPr>
        <w:t>Отчет о результатах самообследования.</w:t>
      </w:r>
    </w:p>
    <w:p w:rsidR="000C7122" w:rsidRPr="0038546A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C7122" w:rsidRPr="0038546A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i/>
          <w:sz w:val="24"/>
          <w:szCs w:val="24"/>
          <w:lang w:eastAsia="ru-RU"/>
        </w:rPr>
        <w:t>Общий уровень развития детей во всех возрастных группах по всем разделам программы «От рождения до школы» под редакцией Н. Е. Вераксы, Т. С. Комаровой, М. А. Васильевой, за вто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рое полугодие учебного года 2015 – 2016</w:t>
      </w:r>
      <w:bookmarkStart w:id="0" w:name="_GoBack"/>
      <w:bookmarkEnd w:id="0"/>
      <w:r w:rsidRPr="0038546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г. Июнь.</w:t>
      </w:r>
    </w:p>
    <w:p w:rsidR="000C7122" w:rsidRPr="0038546A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8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567"/>
        <w:gridCol w:w="567"/>
        <w:gridCol w:w="567"/>
        <w:gridCol w:w="567"/>
        <w:gridCol w:w="531"/>
      </w:tblGrid>
      <w:tr w:rsidR="000C7122" w:rsidRPr="00FF70CB" w:rsidTr="0038546A">
        <w:trPr>
          <w:cantSplit/>
          <w:trHeight w:val="1134"/>
        </w:trPr>
        <w:tc>
          <w:tcPr>
            <w:tcW w:w="709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568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Кол-во детей</w:t>
            </w:r>
          </w:p>
        </w:tc>
        <w:tc>
          <w:tcPr>
            <w:tcW w:w="1701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Ознакомления с окружающим</w:t>
            </w:r>
          </w:p>
        </w:tc>
        <w:tc>
          <w:tcPr>
            <w:tcW w:w="1417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76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РЭМП</w:t>
            </w:r>
          </w:p>
        </w:tc>
        <w:tc>
          <w:tcPr>
            <w:tcW w:w="1559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60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1665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Игра</w:t>
            </w:r>
          </w:p>
        </w:tc>
      </w:tr>
      <w:tr w:rsidR="000C7122" w:rsidRPr="00FF70CB" w:rsidTr="0038546A">
        <w:tc>
          <w:tcPr>
            <w:tcW w:w="709" w:type="dxa"/>
            <w:vMerge w:val="restart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мл.гр.</w:t>
            </w:r>
          </w:p>
        </w:tc>
        <w:tc>
          <w:tcPr>
            <w:tcW w:w="568" w:type="dxa"/>
            <w:vMerge w:val="restart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3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0C7122" w:rsidRPr="00FF70CB" w:rsidTr="0038546A">
        <w:tc>
          <w:tcPr>
            <w:tcW w:w="709" w:type="dxa"/>
            <w:vMerge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3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6%</w:t>
            </w:r>
          </w:p>
        </w:tc>
      </w:tr>
      <w:tr w:rsidR="000C7122" w:rsidRPr="00FF70CB" w:rsidTr="0038546A">
        <w:trPr>
          <w:cantSplit/>
          <w:trHeight w:val="792"/>
        </w:trPr>
        <w:tc>
          <w:tcPr>
            <w:tcW w:w="709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мл.гр.</w:t>
            </w: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531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15%</w:t>
            </w:r>
          </w:p>
        </w:tc>
      </w:tr>
      <w:tr w:rsidR="000C7122" w:rsidRPr="00FF70CB" w:rsidTr="0038546A">
        <w:trPr>
          <w:cantSplit/>
          <w:trHeight w:val="833"/>
        </w:trPr>
        <w:tc>
          <w:tcPr>
            <w:tcW w:w="709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531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2%</w:t>
            </w:r>
          </w:p>
        </w:tc>
      </w:tr>
      <w:tr w:rsidR="000C7122" w:rsidRPr="00FF70CB" w:rsidTr="0038546A">
        <w:trPr>
          <w:cantSplit/>
          <w:trHeight w:val="972"/>
        </w:trPr>
        <w:tc>
          <w:tcPr>
            <w:tcW w:w="709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14%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411%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6%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55%</w:t>
            </w:r>
          </w:p>
        </w:tc>
        <w:tc>
          <w:tcPr>
            <w:tcW w:w="531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17%</w:t>
            </w:r>
          </w:p>
        </w:tc>
      </w:tr>
      <w:tr w:rsidR="000C7122" w:rsidRPr="00FF70CB" w:rsidTr="0038546A">
        <w:trPr>
          <w:cantSplit/>
          <w:trHeight w:val="1134"/>
        </w:trPr>
        <w:tc>
          <w:tcPr>
            <w:tcW w:w="709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подготови-тельная</w:t>
            </w: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8%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25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426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99.5%</w:t>
            </w: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0.5%</w:t>
            </w:r>
          </w:p>
        </w:tc>
        <w:tc>
          <w:tcPr>
            <w:tcW w:w="531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</w:tr>
    </w:tbl>
    <w:p w:rsidR="000C7122" w:rsidRPr="0038546A" w:rsidRDefault="000C7122" w:rsidP="003854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7122" w:rsidRPr="0038546A" w:rsidRDefault="000C7122" w:rsidP="0038546A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sz w:val="24"/>
          <w:szCs w:val="24"/>
          <w:lang w:eastAsia="ru-RU"/>
        </w:rPr>
        <w:t>Количество групп:</w:t>
      </w:r>
      <w:r w:rsidRPr="0038546A">
        <w:rPr>
          <w:rFonts w:ascii="Times New Roman" w:hAnsi="Times New Roman"/>
          <w:i/>
          <w:sz w:val="24"/>
          <w:szCs w:val="24"/>
          <w:lang w:eastAsia="ru-RU"/>
        </w:rPr>
        <w:t>5 групп общеобразовательной направленности</w:t>
      </w:r>
    </w:p>
    <w:p w:rsidR="000C7122" w:rsidRPr="0038546A" w:rsidRDefault="000C7122" w:rsidP="0038546A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sz w:val="24"/>
          <w:szCs w:val="24"/>
          <w:lang w:eastAsia="ru-RU"/>
        </w:rPr>
        <w:t xml:space="preserve">Обследовано детей в количестве:  </w:t>
      </w:r>
      <w:r w:rsidRPr="0038546A">
        <w:rPr>
          <w:rFonts w:ascii="Times New Roman" w:hAnsi="Times New Roman"/>
          <w:i/>
          <w:sz w:val="24"/>
          <w:szCs w:val="24"/>
          <w:lang w:eastAsia="ru-RU"/>
        </w:rPr>
        <w:t>117 человек</w:t>
      </w:r>
    </w:p>
    <w:p w:rsidR="000C7122" w:rsidRPr="0038546A" w:rsidRDefault="000C7122" w:rsidP="0038546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C7122" w:rsidRPr="0038546A" w:rsidRDefault="000C7122" w:rsidP="003854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38546A">
        <w:rPr>
          <w:rFonts w:ascii="Times New Roman" w:hAnsi="Times New Roman"/>
          <w:sz w:val="24"/>
          <w:szCs w:val="24"/>
          <w:lang w:eastAsia="ru-RU"/>
        </w:rPr>
        <w:t>Анализируя результаты обследования дошкольников в МБДОУ «Детский сад № 45», по всем возрастным группам и разделам программы общий уровень развития детей показал:</w:t>
      </w:r>
    </w:p>
    <w:p w:rsidR="000C7122" w:rsidRPr="0038546A" w:rsidRDefault="000C7122" w:rsidP="003854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i/>
          <w:sz w:val="24"/>
          <w:szCs w:val="24"/>
          <w:lang w:eastAsia="ru-RU"/>
        </w:rPr>
        <w:t>Высокий – 52%</w:t>
      </w:r>
    </w:p>
    <w:p w:rsidR="000C7122" w:rsidRPr="0038546A" w:rsidRDefault="000C7122" w:rsidP="003854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i/>
          <w:sz w:val="24"/>
          <w:szCs w:val="24"/>
          <w:lang w:eastAsia="ru-RU"/>
        </w:rPr>
        <w:t>Средний – 36%</w:t>
      </w:r>
    </w:p>
    <w:p w:rsidR="000C7122" w:rsidRPr="0038546A" w:rsidRDefault="000C7122" w:rsidP="003854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i/>
          <w:sz w:val="24"/>
          <w:szCs w:val="24"/>
          <w:lang w:eastAsia="ru-RU"/>
        </w:rPr>
        <w:t>Низкий – 12%</w:t>
      </w:r>
    </w:p>
    <w:p w:rsidR="000C7122" w:rsidRPr="0038546A" w:rsidRDefault="000C7122" w:rsidP="0038546A">
      <w:pPr>
        <w:spacing w:after="0" w:line="240" w:lineRule="auto"/>
        <w:ind w:left="720"/>
        <w:contextualSpacing/>
        <w:rPr>
          <w:rFonts w:ascii="Times New Roman" w:hAnsi="Times New Roman"/>
          <w:sz w:val="40"/>
          <w:szCs w:val="40"/>
          <w:lang w:eastAsia="ru-RU"/>
        </w:rPr>
      </w:pPr>
    </w:p>
    <w:p w:rsidR="000C7122" w:rsidRPr="0038546A" w:rsidRDefault="000C7122" w:rsidP="0038546A">
      <w:pPr>
        <w:tabs>
          <w:tab w:val="left" w:pos="5625"/>
        </w:tabs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FF70CB">
        <w:rPr>
          <w:rFonts w:ascii="Times New Roman" w:hAnsi="Times New Roman"/>
          <w:noProof/>
          <w:sz w:val="48"/>
          <w:szCs w:val="40"/>
          <w:lang w:eastAsia="ru-RU"/>
        </w:rPr>
        <w:object w:dxaOrig="4119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211.5pt;height:2in;visibility:visible" o:ole="">
            <v:imagedata r:id="rId5" o:title="" croptop="-20554f" cropbottom="-20185f" cropleft="-2896f" cropright="-302f"/>
            <o:lock v:ext="edit" aspectratio="f"/>
          </v:shape>
          <o:OLEObject Type="Embed" ProgID="Excel.Chart.8" ShapeID="Диаграмма 3" DrawAspect="Content" ObjectID="_1544182636" r:id="rId6"/>
        </w:object>
      </w:r>
    </w:p>
    <w:p w:rsidR="000C7122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0C7122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0C7122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0C7122" w:rsidRPr="0038546A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i/>
          <w:sz w:val="24"/>
          <w:szCs w:val="24"/>
          <w:lang w:eastAsia="ru-RU"/>
        </w:rPr>
        <w:t>Общий уровень профессионального мастерства воспитателей в работе с детьми по всем разделам программы «От рождения до школы» под редакцией Н. Е. Вераксы, Т. С. Комаровой, М. А. Васильевой, за второе полугодие учебного года 2016 – 2016 г. июнь.</w:t>
      </w:r>
    </w:p>
    <w:p w:rsidR="000C7122" w:rsidRPr="0038546A" w:rsidRDefault="000C7122" w:rsidP="0038546A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8"/>
        <w:gridCol w:w="569"/>
        <w:gridCol w:w="567"/>
        <w:gridCol w:w="567"/>
        <w:gridCol w:w="567"/>
        <w:gridCol w:w="567"/>
        <w:gridCol w:w="567"/>
        <w:gridCol w:w="566"/>
        <w:gridCol w:w="568"/>
        <w:gridCol w:w="567"/>
        <w:gridCol w:w="567"/>
        <w:gridCol w:w="567"/>
        <w:gridCol w:w="567"/>
        <w:gridCol w:w="564"/>
        <w:gridCol w:w="711"/>
        <w:gridCol w:w="567"/>
        <w:gridCol w:w="567"/>
        <w:gridCol w:w="567"/>
      </w:tblGrid>
      <w:tr w:rsidR="000C7122" w:rsidRPr="00FF70CB" w:rsidTr="00916194">
        <w:trPr>
          <w:cantSplit/>
          <w:trHeight w:val="1134"/>
        </w:trPr>
        <w:tc>
          <w:tcPr>
            <w:tcW w:w="285" w:type="dxa"/>
            <w:textDirection w:val="btL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Воспитатели</w:t>
            </w:r>
          </w:p>
        </w:tc>
        <w:tc>
          <w:tcPr>
            <w:tcW w:w="1704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Ознакомления с окружающим</w:t>
            </w:r>
          </w:p>
        </w:tc>
        <w:tc>
          <w:tcPr>
            <w:tcW w:w="1701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701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РЭМП</w:t>
            </w:r>
          </w:p>
        </w:tc>
        <w:tc>
          <w:tcPr>
            <w:tcW w:w="1701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42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1701" w:type="dxa"/>
            <w:gridSpan w:val="3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sz w:val="20"/>
                <w:szCs w:val="20"/>
                <w:lang w:eastAsia="ru-RU"/>
              </w:rPr>
              <w:t>Игра</w:t>
            </w:r>
          </w:p>
        </w:tc>
      </w:tr>
      <w:tr w:rsidR="000C7122" w:rsidRPr="00FF70CB" w:rsidTr="00916194">
        <w:trPr>
          <w:trHeight w:val="289"/>
        </w:trPr>
        <w:tc>
          <w:tcPr>
            <w:tcW w:w="285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9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6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8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4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11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vAlign w:val="center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7122" w:rsidRPr="00FF70CB" w:rsidTr="00916194">
        <w:tc>
          <w:tcPr>
            <w:tcW w:w="285" w:type="dxa"/>
            <w:vAlign w:val="center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8546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68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FF0000"/>
          </w:tcPr>
          <w:p w:rsidR="000C7122" w:rsidRPr="0038546A" w:rsidRDefault="000C7122" w:rsidP="003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0C7122" w:rsidRPr="0038546A" w:rsidRDefault="000C7122" w:rsidP="0038546A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</w:tblGrid>
      <w:tr w:rsidR="000C7122" w:rsidRPr="00FF70CB" w:rsidTr="00916194">
        <w:tc>
          <w:tcPr>
            <w:tcW w:w="675" w:type="dxa"/>
            <w:shd w:val="clear" w:color="auto" w:fill="FF000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46A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0C7122" w:rsidRPr="00FF70CB" w:rsidTr="00916194">
        <w:tc>
          <w:tcPr>
            <w:tcW w:w="675" w:type="dxa"/>
            <w:shd w:val="clear" w:color="auto" w:fill="00B05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46A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0C7122" w:rsidRPr="00FF70CB" w:rsidTr="00916194">
        <w:tc>
          <w:tcPr>
            <w:tcW w:w="675" w:type="dxa"/>
            <w:shd w:val="clear" w:color="auto" w:fill="0070C0"/>
          </w:tcPr>
          <w:p w:rsidR="000C7122" w:rsidRPr="0038546A" w:rsidRDefault="000C7122" w:rsidP="0038546A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46A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0C7122" w:rsidRPr="0038546A" w:rsidRDefault="000C7122" w:rsidP="0038546A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7122" w:rsidRPr="0038546A" w:rsidRDefault="000C7122" w:rsidP="0038546A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sz w:val="24"/>
          <w:szCs w:val="24"/>
          <w:lang w:eastAsia="ru-RU"/>
        </w:rPr>
        <w:t>Количество групп:</w:t>
      </w:r>
      <w:r w:rsidRPr="0038546A">
        <w:rPr>
          <w:rFonts w:ascii="Times New Roman" w:hAnsi="Times New Roman"/>
          <w:i/>
          <w:sz w:val="24"/>
          <w:szCs w:val="24"/>
          <w:lang w:eastAsia="ru-RU"/>
        </w:rPr>
        <w:t>5 групп общеобразовательной направленности</w:t>
      </w:r>
    </w:p>
    <w:p w:rsidR="000C7122" w:rsidRPr="0038546A" w:rsidRDefault="000C7122" w:rsidP="0038546A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участвующих в самоанализе:  </w:t>
      </w:r>
      <w:r w:rsidRPr="0038546A">
        <w:rPr>
          <w:rFonts w:ascii="Times New Roman" w:hAnsi="Times New Roman"/>
          <w:i/>
          <w:sz w:val="24"/>
          <w:szCs w:val="24"/>
          <w:lang w:eastAsia="ru-RU"/>
        </w:rPr>
        <w:t>10 человек</w:t>
      </w:r>
    </w:p>
    <w:p w:rsidR="000C7122" w:rsidRPr="0038546A" w:rsidRDefault="000C7122" w:rsidP="0038546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38546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C7122" w:rsidRPr="0038546A" w:rsidRDefault="000C7122" w:rsidP="003854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38546A">
        <w:rPr>
          <w:rFonts w:ascii="Times New Roman" w:hAnsi="Times New Roman"/>
          <w:sz w:val="24"/>
          <w:szCs w:val="24"/>
          <w:lang w:eastAsia="ru-RU"/>
        </w:rPr>
        <w:t>Анализируя результаты обследования профессионального мастерства педагогов в работе с воспитанниками, по всем разделам программы, имеем следующие показатели:</w:t>
      </w:r>
    </w:p>
    <w:p w:rsidR="000C7122" w:rsidRPr="0038546A" w:rsidRDefault="000C7122" w:rsidP="0038546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i/>
          <w:sz w:val="24"/>
          <w:szCs w:val="24"/>
          <w:lang w:eastAsia="ru-RU"/>
        </w:rPr>
        <w:t>Высокий – 76%</w:t>
      </w:r>
    </w:p>
    <w:p w:rsidR="000C7122" w:rsidRPr="0038546A" w:rsidRDefault="000C7122" w:rsidP="003854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i/>
          <w:sz w:val="24"/>
          <w:szCs w:val="24"/>
          <w:lang w:eastAsia="ru-RU"/>
        </w:rPr>
        <w:t>Средний – 24%</w:t>
      </w:r>
    </w:p>
    <w:p w:rsidR="000C7122" w:rsidRPr="0038546A" w:rsidRDefault="000C7122" w:rsidP="003854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38546A">
        <w:rPr>
          <w:rFonts w:ascii="Times New Roman" w:hAnsi="Times New Roman"/>
          <w:i/>
          <w:sz w:val="24"/>
          <w:szCs w:val="24"/>
          <w:lang w:eastAsia="ru-RU"/>
        </w:rPr>
        <w:t>Низкий – 0%</w:t>
      </w:r>
    </w:p>
    <w:p w:rsidR="000C7122" w:rsidRPr="0038546A" w:rsidRDefault="000C7122" w:rsidP="0038546A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:rsidR="000C7122" w:rsidRPr="0038546A" w:rsidRDefault="000C7122" w:rsidP="0038546A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7122" w:rsidRDefault="000C7122" w:rsidP="0038546A">
      <w:r w:rsidRPr="00FF70CB">
        <w:rPr>
          <w:rFonts w:ascii="Times New Roman" w:hAnsi="Times New Roman"/>
          <w:noProof/>
          <w:sz w:val="24"/>
          <w:szCs w:val="24"/>
          <w:lang w:eastAsia="ru-RU"/>
        </w:rPr>
        <w:object w:dxaOrig="5847" w:dyaOrig="3408">
          <v:shape id="Диаграмма 1" o:spid="_x0000_i1026" type="#_x0000_t75" style="width:296.25pt;height:204.75pt;visibility:visible" o:ole="">
            <v:imagedata r:id="rId7" o:title="" croptop="-6654f" cropbottom="-6481f" cropleft="-751f" cropright="-112f"/>
            <o:lock v:ext="edit" aspectratio="f"/>
          </v:shape>
          <o:OLEObject Type="Embed" ProgID="Excel.Chart.8" ShapeID="Диаграмма 1" DrawAspect="Content" ObjectID="_1544182637" r:id="rId8"/>
        </w:object>
      </w:r>
    </w:p>
    <w:sectPr w:rsidR="000C7122" w:rsidSect="004D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F29"/>
    <w:multiLevelType w:val="hybridMultilevel"/>
    <w:tmpl w:val="2320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10A1"/>
    <w:multiLevelType w:val="hybridMultilevel"/>
    <w:tmpl w:val="4E48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C7F"/>
    <w:rsid w:val="000C7122"/>
    <w:rsid w:val="0038546A"/>
    <w:rsid w:val="004D7957"/>
    <w:rsid w:val="006A3C7F"/>
    <w:rsid w:val="00916194"/>
    <w:rsid w:val="00A95C3F"/>
    <w:rsid w:val="00D70322"/>
    <w:rsid w:val="00D90882"/>
    <w:rsid w:val="00F43F2E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4</cp:revision>
  <dcterms:created xsi:type="dcterms:W3CDTF">2016-12-20T01:56:00Z</dcterms:created>
  <dcterms:modified xsi:type="dcterms:W3CDTF">2016-12-25T02:51:00Z</dcterms:modified>
</cp:coreProperties>
</file>