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258" w:rsidRPr="0085660A" w:rsidRDefault="0055393C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-102235</wp:posOffset>
            </wp:positionV>
            <wp:extent cx="143383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36" y="21348"/>
                <wp:lineTo x="21236" y="0"/>
                <wp:lineTo x="0" y="0"/>
              </wp:wrapPolygon>
            </wp:wrapTight>
            <wp:docPr id="13" name="Рисунок 7" descr="Mul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ult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55393C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367030</wp:posOffset>
            </wp:positionV>
            <wp:extent cx="1537335" cy="2232660"/>
            <wp:effectExtent l="0" t="0" r="5715" b="0"/>
            <wp:wrapTight wrapText="bothSides">
              <wp:wrapPolygon edited="0">
                <wp:start x="0" y="0"/>
                <wp:lineTo x="0" y="21379"/>
                <wp:lineTo x="21413" y="21379"/>
                <wp:lineTo x="21413" y="0"/>
                <wp:lineTo x="0" y="0"/>
              </wp:wrapPolygon>
            </wp:wrapTight>
            <wp:docPr id="12" name="Рисунок 6" descr="1303131860_pravi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03131860_pravila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55393C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40640</wp:posOffset>
            </wp:positionV>
            <wp:extent cx="1601470" cy="1149350"/>
            <wp:effectExtent l="0" t="0" r="0" b="0"/>
            <wp:wrapSquare wrapText="bothSides"/>
            <wp:docPr id="14" name="Рисунок 14" descr="о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р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55393C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2670810" cy="1203325"/>
            <wp:effectExtent l="0" t="0" r="0" b="0"/>
            <wp:docPr id="1" name="Рисунок 1" descr="stranic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h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5393C" w:rsidRPr="0055393C" w:rsidRDefault="0055393C" w:rsidP="0055393C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 w:rsidRPr="0055393C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Муниципальное дошкольное образовательное учреждение</w:t>
      </w:r>
    </w:p>
    <w:p w:rsidR="0055393C" w:rsidRPr="0055393C" w:rsidRDefault="0055393C" w:rsidP="0055393C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 w:rsidRPr="0055393C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 «Детский сад № 45 общеразвивающего вида»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55393C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1820545" cy="2903855"/>
            <wp:effectExtent l="0" t="0" r="8255" b="0"/>
            <wp:docPr id="2" name="Рисунок 2" descr="c09-3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9-33_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5393C" w:rsidRPr="0055393C" w:rsidRDefault="0055393C" w:rsidP="0055393C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55393C">
        <w:rPr>
          <w:color w:val="00B050"/>
          <w:sz w:val="20"/>
          <w:szCs w:val="20"/>
        </w:rPr>
        <w:t>Выполнила: Церковная Оксана Евгеньевна</w:t>
      </w:r>
    </w:p>
    <w:p w:rsidR="0055393C" w:rsidRPr="0055393C" w:rsidRDefault="0055393C" w:rsidP="0055393C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55393C">
        <w:rPr>
          <w:color w:val="00B050"/>
          <w:sz w:val="20"/>
          <w:szCs w:val="20"/>
        </w:rPr>
        <w:t>Инструктор по физической культуре</w:t>
      </w:r>
    </w:p>
    <w:p w:rsidR="00583587" w:rsidRPr="0035303F" w:rsidRDefault="0055393C" w:rsidP="0055393C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55393C">
        <w:rPr>
          <w:color w:val="00B050"/>
          <w:sz w:val="20"/>
          <w:szCs w:val="20"/>
        </w:rPr>
        <w:t>2017 г.</w:t>
      </w:r>
      <w:r w:rsidR="00583587" w:rsidRPr="0035303F">
        <w:rPr>
          <w:color w:val="00B050"/>
          <w:sz w:val="20"/>
          <w:szCs w:val="20"/>
        </w:rPr>
        <w:t>.</w:t>
      </w: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5393C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Оксана</cp:lastModifiedBy>
  <cp:revision>2</cp:revision>
  <cp:lastPrinted>2018-02-16T06:17:00Z</cp:lastPrinted>
  <dcterms:created xsi:type="dcterms:W3CDTF">2018-02-16T06:19:00Z</dcterms:created>
  <dcterms:modified xsi:type="dcterms:W3CDTF">2018-02-16T06:19:00Z</dcterms:modified>
</cp:coreProperties>
</file>